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FA2F" w14:textId="77777777" w:rsidR="00152DB8" w:rsidRDefault="00CE30A3">
      <w:pPr>
        <w:pStyle w:val="BodyText"/>
        <w:ind w:left="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A2074D" wp14:editId="0BFEE2D4">
            <wp:extent cx="2005490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9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DCE98" w14:textId="77777777" w:rsidR="00152DB8" w:rsidRDefault="00152DB8">
      <w:pPr>
        <w:pStyle w:val="BodyText"/>
        <w:rPr>
          <w:rFonts w:ascii="Times New Roman"/>
          <w:sz w:val="20"/>
        </w:rPr>
      </w:pPr>
    </w:p>
    <w:p w14:paraId="179B57D1" w14:textId="77777777" w:rsidR="00152DB8" w:rsidRDefault="00CE30A3">
      <w:pPr>
        <w:pStyle w:val="Title"/>
        <w:spacing w:before="261" w:line="403" w:lineRule="auto"/>
        <w:ind w:left="3970" w:right="3189" w:firstLine="2"/>
      </w:pPr>
      <w:bookmarkStart w:id="0" w:name="Minutes"/>
      <w:bookmarkEnd w:id="0"/>
      <w:r>
        <w:t xml:space="preserve">Cabinet </w:t>
      </w:r>
      <w:r>
        <w:rPr>
          <w:w w:val="95"/>
        </w:rPr>
        <w:t>Minutes</w:t>
      </w:r>
    </w:p>
    <w:p w14:paraId="3D84A20D" w14:textId="77777777" w:rsidR="00152DB8" w:rsidRDefault="00CE30A3">
      <w:pPr>
        <w:pStyle w:val="Title"/>
      </w:pPr>
      <w:r>
        <w:t>11 February 2021</w:t>
      </w:r>
    </w:p>
    <w:p w14:paraId="24499E3F" w14:textId="77777777" w:rsidR="00152DB8" w:rsidRDefault="00152DB8">
      <w:pPr>
        <w:pStyle w:val="BodyText"/>
        <w:spacing w:before="6"/>
        <w:rPr>
          <w:rFonts w:ascii="Arial Black"/>
          <w:sz w:val="70"/>
        </w:rPr>
      </w:pPr>
    </w:p>
    <w:p w14:paraId="3748A257" w14:textId="77777777" w:rsidR="00152DB8" w:rsidRDefault="00CE30A3">
      <w:pPr>
        <w:pStyle w:val="BodyText"/>
        <w:spacing w:before="1"/>
        <w:ind w:left="902"/>
      </w:pPr>
      <w:r>
        <w:t>Record of decisions taken at the meeting held on Thursday 11 February 2021.</w:t>
      </w:r>
    </w:p>
    <w:p w14:paraId="7888BA12" w14:textId="77777777" w:rsidR="00152DB8" w:rsidRDefault="00152DB8">
      <w:pPr>
        <w:pStyle w:val="BodyText"/>
        <w:rPr>
          <w:sz w:val="26"/>
        </w:rPr>
      </w:pPr>
    </w:p>
    <w:p w14:paraId="305735E8" w14:textId="77777777" w:rsidR="00152DB8" w:rsidRDefault="00CE30A3">
      <w:pPr>
        <w:pStyle w:val="Heading2"/>
        <w:spacing w:before="181"/>
      </w:pPr>
      <w:r>
        <w:t>Present:</w:t>
      </w:r>
    </w:p>
    <w:p w14:paraId="1CBBD861" w14:textId="77777777" w:rsidR="00152DB8" w:rsidRDefault="00152DB8">
      <w:pPr>
        <w:pStyle w:val="BodyText"/>
        <w:spacing w:before="9"/>
        <w:rPr>
          <w:b/>
          <w:sz w:val="20"/>
        </w:rPr>
      </w:pPr>
    </w:p>
    <w:p w14:paraId="6D68C592" w14:textId="77777777" w:rsidR="00152DB8" w:rsidRDefault="00CE30A3">
      <w:pPr>
        <w:tabs>
          <w:tab w:val="left" w:pos="2988"/>
        </w:tabs>
        <w:spacing w:before="1"/>
        <w:ind w:left="900"/>
        <w:rPr>
          <w:sz w:val="24"/>
        </w:rPr>
      </w:pPr>
      <w:r>
        <w:rPr>
          <w:b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Graham</w:t>
      </w:r>
      <w:r>
        <w:rPr>
          <w:spacing w:val="-2"/>
          <w:sz w:val="24"/>
        </w:rPr>
        <w:t xml:space="preserve"> </w:t>
      </w:r>
      <w:r>
        <w:rPr>
          <w:sz w:val="24"/>
        </w:rPr>
        <w:t>Henson</w:t>
      </w:r>
    </w:p>
    <w:p w14:paraId="6770650D" w14:textId="77777777" w:rsidR="00152DB8" w:rsidRDefault="00152DB8">
      <w:pPr>
        <w:pStyle w:val="BodyText"/>
        <w:spacing w:before="9"/>
        <w:rPr>
          <w:sz w:val="17"/>
        </w:rPr>
      </w:pPr>
    </w:p>
    <w:p w14:paraId="5DE19D08" w14:textId="77777777" w:rsidR="00152DB8" w:rsidRDefault="00152DB8">
      <w:pPr>
        <w:rPr>
          <w:sz w:val="17"/>
        </w:rPr>
        <w:sectPr w:rsidR="00152DB8">
          <w:footerReference w:type="even" r:id="rId8"/>
          <w:footerReference w:type="default" r:id="rId9"/>
          <w:type w:val="continuous"/>
          <w:pgSz w:w="11910" w:h="16840"/>
          <w:pgMar w:top="980" w:right="1320" w:bottom="640" w:left="1260" w:header="720" w:footer="456" w:gutter="0"/>
          <w:pgNumType w:start="210"/>
          <w:cols w:space="720"/>
        </w:sectPr>
      </w:pPr>
    </w:p>
    <w:p w14:paraId="335218AB" w14:textId="77777777" w:rsidR="00152DB8" w:rsidRDefault="00CE30A3">
      <w:pPr>
        <w:tabs>
          <w:tab w:val="left" w:pos="2988"/>
        </w:tabs>
        <w:spacing w:before="93"/>
        <w:ind w:left="900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Anderson</w:t>
      </w:r>
    </w:p>
    <w:p w14:paraId="6F892D03" w14:textId="77777777" w:rsidR="00152DB8" w:rsidRDefault="00CE30A3">
      <w:pPr>
        <w:pStyle w:val="BodyText"/>
        <w:ind w:left="2989" w:right="114"/>
      </w:pPr>
      <w:r>
        <w:t>Simon Brown Keith Ferry Phillip O'Dell</w:t>
      </w:r>
    </w:p>
    <w:p w14:paraId="7C90C492" w14:textId="77777777" w:rsidR="00152DB8" w:rsidRDefault="00CE30A3">
      <w:pPr>
        <w:pStyle w:val="BodyText"/>
        <w:spacing w:before="93"/>
        <w:ind w:left="900" w:right="1172"/>
      </w:pPr>
      <w:r>
        <w:br w:type="column"/>
      </w:r>
      <w:r>
        <w:t>Varsha Parmar Christine Robson Krishna Suresh Adam Swersky</w:t>
      </w:r>
    </w:p>
    <w:p w14:paraId="58D2183D" w14:textId="77777777" w:rsidR="00152DB8" w:rsidRDefault="00152DB8">
      <w:pPr>
        <w:sectPr w:rsidR="00152DB8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4551" w:space="846"/>
            <w:col w:w="3933"/>
          </w:cols>
        </w:sectPr>
      </w:pPr>
    </w:p>
    <w:p w14:paraId="0EF8B81A" w14:textId="77777777" w:rsidR="00152DB8" w:rsidRDefault="00152DB8">
      <w:pPr>
        <w:pStyle w:val="BodyText"/>
        <w:spacing w:before="1"/>
        <w:rPr>
          <w:sz w:val="18"/>
        </w:rPr>
      </w:pPr>
    </w:p>
    <w:p w14:paraId="76BB6C0C" w14:textId="77777777" w:rsidR="00152DB8" w:rsidRDefault="00152DB8">
      <w:pPr>
        <w:rPr>
          <w:sz w:val="18"/>
        </w:rPr>
        <w:sectPr w:rsidR="00152DB8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0F2D07D1" w14:textId="77777777" w:rsidR="00152DB8" w:rsidRDefault="00CE30A3">
      <w:pPr>
        <w:pStyle w:val="Heading2"/>
        <w:spacing w:before="92"/>
        <w:ind w:right="-10"/>
      </w:pPr>
      <w:r>
        <w:rPr>
          <w:spacing w:val="-1"/>
        </w:rPr>
        <w:t xml:space="preserve">Non-Executive </w:t>
      </w:r>
      <w:r>
        <w:t>Cabinet Member:</w:t>
      </w:r>
    </w:p>
    <w:p w14:paraId="4D918F5A" w14:textId="77777777" w:rsidR="00152DB8" w:rsidRDefault="00CE30A3">
      <w:pPr>
        <w:pStyle w:val="BodyText"/>
        <w:spacing w:before="92"/>
        <w:ind w:left="384"/>
      </w:pPr>
      <w:r>
        <w:br w:type="column"/>
      </w:r>
      <w:r>
        <w:t>Antonio Weiss</w:t>
      </w:r>
    </w:p>
    <w:p w14:paraId="643552E6" w14:textId="77777777" w:rsidR="00152DB8" w:rsidRDefault="00152DB8">
      <w:pPr>
        <w:sectPr w:rsidR="00152DB8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565" w:space="40"/>
            <w:col w:w="6725"/>
          </w:cols>
        </w:sectPr>
      </w:pPr>
    </w:p>
    <w:p w14:paraId="6CBA2E46" w14:textId="77777777" w:rsidR="00152DB8" w:rsidRDefault="00152DB8">
      <w:pPr>
        <w:pStyle w:val="BodyText"/>
        <w:rPr>
          <w:sz w:val="16"/>
        </w:rPr>
      </w:pPr>
    </w:p>
    <w:p w14:paraId="3D8E22C6" w14:textId="77777777" w:rsidR="00152DB8" w:rsidRDefault="00152DB8">
      <w:pPr>
        <w:rPr>
          <w:sz w:val="16"/>
        </w:rPr>
        <w:sectPr w:rsidR="00152DB8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10D8DCC6" w14:textId="77777777" w:rsidR="00152DB8" w:rsidRDefault="00CE30A3">
      <w:pPr>
        <w:pStyle w:val="Heading2"/>
        <w:spacing w:before="92"/>
        <w:ind w:right="-6"/>
      </w:pPr>
      <w:r>
        <w:t xml:space="preserve">Non-Executive Voluntary Sector </w:t>
      </w:r>
      <w:r>
        <w:rPr>
          <w:spacing w:val="-1"/>
        </w:rPr>
        <w:t>Representative:</w:t>
      </w:r>
    </w:p>
    <w:p w14:paraId="6A9A5F69" w14:textId="77777777" w:rsidR="00152DB8" w:rsidRDefault="00CE30A3">
      <w:pPr>
        <w:pStyle w:val="BodyText"/>
        <w:spacing w:before="92"/>
        <w:ind w:left="249"/>
      </w:pPr>
      <w:r>
        <w:br w:type="column"/>
      </w:r>
      <w:r>
        <w:t>John Higgins</w:t>
      </w:r>
    </w:p>
    <w:p w14:paraId="3F4B23EC" w14:textId="77777777" w:rsidR="00152DB8" w:rsidRDefault="00152DB8">
      <w:pPr>
        <w:sectPr w:rsidR="00152DB8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700" w:space="40"/>
            <w:col w:w="6590"/>
          </w:cols>
        </w:sectPr>
      </w:pPr>
    </w:p>
    <w:p w14:paraId="40ADFA56" w14:textId="77777777" w:rsidR="00152DB8" w:rsidRDefault="00152DB8">
      <w:pPr>
        <w:pStyle w:val="BodyText"/>
        <w:spacing w:before="10"/>
        <w:rPr>
          <w:sz w:val="17"/>
        </w:rPr>
      </w:pPr>
    </w:p>
    <w:p w14:paraId="6D699AC4" w14:textId="77777777" w:rsidR="00152DB8" w:rsidRDefault="00152DB8">
      <w:pPr>
        <w:rPr>
          <w:sz w:val="17"/>
        </w:rPr>
        <w:sectPr w:rsidR="00152DB8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07635621" w14:textId="77777777" w:rsidR="00152DB8" w:rsidRDefault="00CE30A3">
      <w:pPr>
        <w:pStyle w:val="Heading2"/>
        <w:spacing w:before="93"/>
        <w:ind w:right="-18"/>
      </w:pPr>
      <w:r>
        <w:t>In attendance (</w:t>
      </w:r>
      <w:proofErr w:type="spellStart"/>
      <w:r>
        <w:t>Councillors</w:t>
      </w:r>
      <w:proofErr w:type="spellEnd"/>
      <w:r>
        <w:t>):</w:t>
      </w:r>
    </w:p>
    <w:p w14:paraId="08EBEC76" w14:textId="77777777" w:rsidR="00152DB8" w:rsidRDefault="00CE30A3">
      <w:pPr>
        <w:pStyle w:val="BodyText"/>
        <w:spacing w:before="93"/>
        <w:ind w:left="487" w:right="20"/>
      </w:pPr>
      <w:r>
        <w:br w:type="column"/>
      </w:r>
      <w:r>
        <w:t>Richard Almond Marilyn Ashton Stephen Greek John Hinkley Paul Osborn Anjana Patel Pritesh Patel</w:t>
      </w:r>
    </w:p>
    <w:p w14:paraId="5DDB0E62" w14:textId="77777777" w:rsidR="00152DB8" w:rsidRDefault="00CE30A3">
      <w:pPr>
        <w:pStyle w:val="BodyText"/>
        <w:spacing w:before="93"/>
        <w:ind w:left="900"/>
      </w:pPr>
      <w:r>
        <w:br w:type="column"/>
      </w:r>
      <w:r>
        <w:t>For Minute</w:t>
      </w:r>
      <w:r>
        <w:rPr>
          <w:spacing w:val="-3"/>
        </w:rPr>
        <w:t xml:space="preserve"> </w:t>
      </w:r>
      <w:r>
        <w:t>420</w:t>
      </w:r>
    </w:p>
    <w:p w14:paraId="37C3A330" w14:textId="77777777" w:rsidR="00152DB8" w:rsidRDefault="00CE30A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67583D41" w14:textId="77777777" w:rsidR="00152DB8" w:rsidRDefault="00CE30A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418</w:t>
      </w:r>
    </w:p>
    <w:p w14:paraId="3F32D821" w14:textId="77777777" w:rsidR="00152DB8" w:rsidRDefault="00CE30A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1C9A4AF3" w14:textId="77777777" w:rsidR="00152DB8" w:rsidRDefault="00CE30A3">
      <w:pPr>
        <w:pStyle w:val="BodyText"/>
        <w:ind w:left="900"/>
      </w:pPr>
      <w:r>
        <w:t>For Minute 416-429</w:t>
      </w:r>
    </w:p>
    <w:p w14:paraId="663A0166" w14:textId="77777777" w:rsidR="00152DB8" w:rsidRDefault="00CE30A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5A549DF0" w14:textId="77777777" w:rsidR="00152DB8" w:rsidRDefault="00CE30A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7B3BF200" w14:textId="77777777" w:rsidR="00152DB8" w:rsidRDefault="00152DB8">
      <w:pPr>
        <w:sectPr w:rsidR="00152DB8">
          <w:type w:val="continuous"/>
          <w:pgSz w:w="11910" w:h="16840"/>
          <w:pgMar w:top="980" w:right="1320" w:bottom="640" w:left="1260" w:header="720" w:footer="720" w:gutter="0"/>
          <w:cols w:num="3" w:space="720" w:equalWidth="0">
            <w:col w:w="2462" w:space="40"/>
            <w:col w:w="2235" w:space="660"/>
            <w:col w:w="3933"/>
          </w:cols>
        </w:sectPr>
      </w:pPr>
    </w:p>
    <w:p w14:paraId="45BFE6D5" w14:textId="77777777" w:rsidR="00152DB8" w:rsidRDefault="00152DB8">
      <w:pPr>
        <w:pStyle w:val="BodyText"/>
        <w:spacing w:before="7"/>
        <w:rPr>
          <w:sz w:val="19"/>
        </w:rPr>
      </w:pPr>
    </w:p>
    <w:p w14:paraId="6E074488" w14:textId="77777777" w:rsidR="00152DB8" w:rsidRDefault="00152DB8">
      <w:pPr>
        <w:pStyle w:val="BodyText"/>
        <w:rPr>
          <w:sz w:val="2"/>
        </w:rPr>
      </w:pPr>
    </w:p>
    <w:p w14:paraId="27DCF65E" w14:textId="77777777" w:rsidR="00152DB8" w:rsidRDefault="00152DB8">
      <w:pPr>
        <w:pStyle w:val="BodyText"/>
        <w:rPr>
          <w:sz w:val="2"/>
        </w:rPr>
      </w:pPr>
    </w:p>
    <w:p w14:paraId="62E4296C" w14:textId="77777777" w:rsidR="00152DB8" w:rsidRDefault="00152DB8">
      <w:pPr>
        <w:pStyle w:val="BodyText"/>
        <w:rPr>
          <w:sz w:val="2"/>
        </w:rPr>
      </w:pPr>
    </w:p>
    <w:p w14:paraId="6615F3B1" w14:textId="77777777" w:rsidR="00152DB8" w:rsidRDefault="00152DB8">
      <w:pPr>
        <w:pStyle w:val="BodyText"/>
        <w:spacing w:before="7"/>
        <w:rPr>
          <w:sz w:val="2"/>
        </w:rPr>
      </w:pPr>
    </w:p>
    <w:p w14:paraId="7332B6DF" w14:textId="77777777" w:rsidR="00152DB8" w:rsidRDefault="00CE30A3">
      <w:pPr>
        <w:ind w:left="900"/>
        <w:rPr>
          <w:sz w:val="2"/>
        </w:rPr>
      </w:pPr>
      <w:r>
        <w:rPr>
          <w:w w:val="96"/>
          <w:sz w:val="2"/>
        </w:rPr>
        <w:t>t</w:t>
      </w:r>
    </w:p>
    <w:p w14:paraId="7B9E8697" w14:textId="77777777" w:rsidR="00152DB8" w:rsidRDefault="00152DB8">
      <w:pPr>
        <w:rPr>
          <w:sz w:val="2"/>
        </w:rPr>
        <w:sectPr w:rsidR="00152DB8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085FA6CD" w14:textId="6094ACC6" w:rsidR="00152DB8" w:rsidRDefault="00CE30A3" w:rsidP="00CE30A3">
      <w:pPr>
        <w:ind w:left="900"/>
        <w:rPr>
          <w:b/>
          <w:sz w:val="28"/>
        </w:rPr>
      </w:pPr>
      <w:r>
        <w:rPr>
          <w:b/>
          <w:sz w:val="28"/>
        </w:rPr>
        <w:lastRenderedPageBreak/>
        <w:t>Recommended Items</w:t>
      </w:r>
    </w:p>
    <w:p w14:paraId="42B50524" w14:textId="77777777" w:rsidR="00CE30A3" w:rsidRDefault="00CE30A3" w:rsidP="00CE30A3">
      <w:pPr>
        <w:ind w:left="900"/>
      </w:pPr>
    </w:p>
    <w:p w14:paraId="588EB00F" w14:textId="659CFEA1" w:rsidR="00152DB8" w:rsidRDefault="00CE30A3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right="116"/>
        <w:rPr>
          <w:b/>
          <w:sz w:val="24"/>
        </w:rPr>
      </w:pPr>
      <w:r>
        <w:rPr>
          <w:b/>
          <w:sz w:val="24"/>
        </w:rPr>
        <w:t>Housing Revenue Account (HRA) Budget 2021-22 and Medium-Term Financial Strategy (MTFS) 2022-23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2023-24</w:t>
      </w:r>
    </w:p>
    <w:p w14:paraId="75050204" w14:textId="77777777" w:rsidR="00152DB8" w:rsidRDefault="00152DB8">
      <w:pPr>
        <w:pStyle w:val="BodyText"/>
        <w:rPr>
          <w:b/>
        </w:rPr>
      </w:pPr>
    </w:p>
    <w:p w14:paraId="5C2B5A19" w14:textId="77777777" w:rsidR="00152DB8" w:rsidRDefault="00CE30A3">
      <w:pPr>
        <w:ind w:left="900"/>
        <w:rPr>
          <w:sz w:val="24"/>
        </w:rPr>
      </w:pPr>
      <w:r>
        <w:rPr>
          <w:b/>
          <w:sz w:val="24"/>
        </w:rPr>
        <w:t xml:space="preserve">Resolved to RECOMMEND: </w:t>
      </w:r>
      <w:r>
        <w:rPr>
          <w:sz w:val="24"/>
        </w:rPr>
        <w:t>(to Council)</w:t>
      </w:r>
    </w:p>
    <w:p w14:paraId="062C5AA9" w14:textId="77777777" w:rsidR="00152DB8" w:rsidRDefault="00152DB8">
      <w:pPr>
        <w:pStyle w:val="BodyText"/>
      </w:pPr>
    </w:p>
    <w:p w14:paraId="6E9EB63F" w14:textId="77777777" w:rsidR="00152DB8" w:rsidRDefault="00CE30A3">
      <w:pPr>
        <w:pStyle w:val="BodyText"/>
        <w:spacing w:before="1"/>
        <w:ind w:left="900"/>
      </w:pPr>
      <w:r>
        <w:t>That</w:t>
      </w:r>
    </w:p>
    <w:p w14:paraId="59C27935" w14:textId="77777777" w:rsidR="00152DB8" w:rsidRDefault="00152DB8">
      <w:pPr>
        <w:pStyle w:val="BodyText"/>
        <w:spacing w:before="11"/>
        <w:rPr>
          <w:sz w:val="23"/>
        </w:rPr>
      </w:pPr>
    </w:p>
    <w:p w14:paraId="14B0DCDE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hanging="721"/>
        <w:rPr>
          <w:sz w:val="24"/>
        </w:rPr>
      </w:pPr>
      <w:r>
        <w:rPr>
          <w:sz w:val="24"/>
        </w:rPr>
        <w:t>the Housing Revenue Account Budget for 2021-22 be</w:t>
      </w:r>
      <w:r>
        <w:rPr>
          <w:spacing w:val="-11"/>
          <w:sz w:val="24"/>
        </w:rPr>
        <w:t xml:space="preserve"> </w:t>
      </w:r>
      <w:r>
        <w:rPr>
          <w:sz w:val="24"/>
        </w:rPr>
        <w:t>approved.</w:t>
      </w:r>
    </w:p>
    <w:p w14:paraId="6015F8BA" w14:textId="77777777" w:rsidR="00152DB8" w:rsidRDefault="00152DB8">
      <w:pPr>
        <w:pStyle w:val="BodyText"/>
      </w:pPr>
    </w:p>
    <w:p w14:paraId="45F3EDBB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right="127"/>
        <w:rPr>
          <w:sz w:val="24"/>
        </w:rPr>
      </w:pPr>
      <w:r>
        <w:rPr>
          <w:sz w:val="24"/>
        </w:rPr>
        <w:t xml:space="preserve">the Housing Revenue Account Capital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as set out at Appendix 7 to the report, be</w:t>
      </w:r>
      <w:r>
        <w:rPr>
          <w:spacing w:val="-8"/>
          <w:sz w:val="24"/>
        </w:rPr>
        <w:t xml:space="preserve"> </w:t>
      </w:r>
      <w:r>
        <w:rPr>
          <w:sz w:val="24"/>
        </w:rPr>
        <w:t>approved.</w:t>
      </w:r>
    </w:p>
    <w:p w14:paraId="39F409EF" w14:textId="77777777" w:rsidR="00152DB8" w:rsidRDefault="00152DB8">
      <w:pPr>
        <w:pStyle w:val="BodyText"/>
      </w:pPr>
    </w:p>
    <w:p w14:paraId="622DD7FC" w14:textId="77777777" w:rsidR="00152DB8" w:rsidRDefault="00CE30A3">
      <w:pPr>
        <w:pStyle w:val="BodyText"/>
        <w:ind w:left="900" w:right="712"/>
      </w:pPr>
      <w:r>
        <w:t>[Call-in did not apply to the decisions above as they were reserved to full Council.]</w:t>
      </w:r>
    </w:p>
    <w:p w14:paraId="13C3C74D" w14:textId="77777777" w:rsidR="00152DB8" w:rsidRDefault="00152DB8">
      <w:pPr>
        <w:pStyle w:val="BodyText"/>
      </w:pPr>
    </w:p>
    <w:p w14:paraId="58C185E6" w14:textId="77777777" w:rsidR="00152DB8" w:rsidRDefault="00CE30A3">
      <w:pPr>
        <w:ind w:left="900"/>
        <w:rPr>
          <w:sz w:val="24"/>
        </w:rPr>
      </w:pPr>
      <w:r>
        <w:rPr>
          <w:b/>
          <w:sz w:val="24"/>
        </w:rPr>
        <w:t>RESOLVED</w:t>
      </w:r>
      <w:r>
        <w:rPr>
          <w:sz w:val="24"/>
        </w:rPr>
        <w:t>: That</w:t>
      </w:r>
    </w:p>
    <w:p w14:paraId="133AB9D9" w14:textId="77777777" w:rsidR="00152DB8" w:rsidRDefault="00152DB8">
      <w:pPr>
        <w:pStyle w:val="BodyText"/>
        <w:spacing w:before="1"/>
      </w:pPr>
    </w:p>
    <w:p w14:paraId="4EF885E2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right="204"/>
        <w:rPr>
          <w:sz w:val="24"/>
        </w:rPr>
      </w:pPr>
      <w:r>
        <w:rPr>
          <w:sz w:val="24"/>
        </w:rPr>
        <w:t>the proposed average weekly rent for non-sheltered and sheltered accommodation of £118.01 and £98.18 for 2021-22 respectively as set out in paragraph 34 of the report, be</w:t>
      </w:r>
      <w:r>
        <w:rPr>
          <w:spacing w:val="-11"/>
          <w:sz w:val="24"/>
        </w:rPr>
        <w:t xml:space="preserve"> </w:t>
      </w:r>
      <w:r>
        <w:rPr>
          <w:sz w:val="24"/>
        </w:rPr>
        <w:t>approved;</w:t>
      </w:r>
    </w:p>
    <w:p w14:paraId="2F3516F4" w14:textId="77777777" w:rsidR="00152DB8" w:rsidRDefault="00152DB8">
      <w:pPr>
        <w:pStyle w:val="BodyText"/>
      </w:pPr>
    </w:p>
    <w:p w14:paraId="22BE5F0A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right="238"/>
        <w:rPr>
          <w:sz w:val="24"/>
        </w:rPr>
      </w:pPr>
      <w:r>
        <w:rPr>
          <w:sz w:val="24"/>
        </w:rPr>
        <w:t>the proposed average weekly tenant service charge of £3.32 per</w:t>
      </w:r>
      <w:r>
        <w:rPr>
          <w:spacing w:val="-34"/>
          <w:sz w:val="24"/>
        </w:rPr>
        <w:t xml:space="preserve"> </w:t>
      </w:r>
      <w:r>
        <w:rPr>
          <w:sz w:val="24"/>
        </w:rPr>
        <w:t>week as set out in paragraph 40 of the report, be</w:t>
      </w:r>
      <w:r>
        <w:rPr>
          <w:spacing w:val="-13"/>
          <w:sz w:val="24"/>
        </w:rPr>
        <w:t xml:space="preserve"> </w:t>
      </w:r>
      <w:r>
        <w:rPr>
          <w:sz w:val="24"/>
        </w:rPr>
        <w:t>approved;</w:t>
      </w:r>
    </w:p>
    <w:p w14:paraId="7C50D8A6" w14:textId="77777777" w:rsidR="00152DB8" w:rsidRDefault="00152DB8">
      <w:pPr>
        <w:pStyle w:val="BodyText"/>
        <w:spacing w:before="2"/>
        <w:rPr>
          <w:sz w:val="23"/>
        </w:rPr>
      </w:pPr>
    </w:p>
    <w:p w14:paraId="44944639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right="477"/>
        <w:rPr>
          <w:sz w:val="24"/>
        </w:rPr>
      </w:pPr>
      <w:r>
        <w:rPr>
          <w:sz w:val="24"/>
        </w:rPr>
        <w:t>the proposed average weekly rents for affordable rented and</w:t>
      </w:r>
      <w:r>
        <w:rPr>
          <w:spacing w:val="-31"/>
          <w:sz w:val="24"/>
        </w:rPr>
        <w:t xml:space="preserve"> </w:t>
      </w:r>
      <w:r>
        <w:rPr>
          <w:sz w:val="24"/>
        </w:rPr>
        <w:t>shared ownership accommodation of £197.11 and £199.82 for 2021-22 respectively as set out in paragraph 35 to 36, be</w:t>
      </w:r>
      <w:r>
        <w:rPr>
          <w:spacing w:val="-19"/>
          <w:sz w:val="24"/>
        </w:rPr>
        <w:t xml:space="preserve"> </w:t>
      </w:r>
      <w:r>
        <w:rPr>
          <w:sz w:val="24"/>
        </w:rPr>
        <w:t>approved;</w:t>
      </w:r>
    </w:p>
    <w:p w14:paraId="2B89F77F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spacing w:before="65"/>
        <w:ind w:right="167"/>
        <w:rPr>
          <w:sz w:val="24"/>
        </w:rPr>
      </w:pPr>
      <w:r>
        <w:rPr>
          <w:sz w:val="24"/>
        </w:rPr>
        <w:t xml:space="preserve">an increase in the overall Housing Revenue Account (HRA) Capital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 £40,728,480 made up £9,762,940 planned investment &amp; Housing IT and £30,965,540 Building Council Homes for Londoners (</w:t>
      </w:r>
      <w:proofErr w:type="spellStart"/>
      <w:r>
        <w:rPr>
          <w:sz w:val="24"/>
        </w:rPr>
        <w:t>BCHfL</w:t>
      </w:r>
      <w:proofErr w:type="spellEnd"/>
      <w:r>
        <w:rPr>
          <w:sz w:val="24"/>
        </w:rPr>
        <w:t>) as set out in paragraphs 56 to 66 of the report, be</w:t>
      </w:r>
      <w:r>
        <w:rPr>
          <w:spacing w:val="-23"/>
          <w:sz w:val="24"/>
        </w:rPr>
        <w:t xml:space="preserve"> </w:t>
      </w:r>
      <w:r>
        <w:rPr>
          <w:sz w:val="24"/>
        </w:rPr>
        <w:t>approved.</w:t>
      </w:r>
    </w:p>
    <w:p w14:paraId="66E87E8E" w14:textId="77777777" w:rsidR="00152DB8" w:rsidRDefault="00152DB8">
      <w:pPr>
        <w:pStyle w:val="BodyText"/>
      </w:pPr>
    </w:p>
    <w:p w14:paraId="004BE901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right="196"/>
        <w:rPr>
          <w:sz w:val="24"/>
        </w:rPr>
      </w:pPr>
      <w:r>
        <w:rPr>
          <w:sz w:val="24"/>
        </w:rPr>
        <w:t xml:space="preserve">the Corporate Director of Community, following consultation with the Portfolio Holders for Housing and Finance and Resources and Director of Finance, be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consider the results of the Tenant Service Charges review </w:t>
      </w:r>
      <w:r>
        <w:rPr>
          <w:rFonts w:ascii="Segoe UI"/>
          <w:sz w:val="21"/>
        </w:rPr>
        <w:t>(</w:t>
      </w:r>
      <w:r>
        <w:rPr>
          <w:sz w:val="24"/>
        </w:rPr>
        <w:t>and any consultation on this) and approve any changes to existing tenant service charges for the financial year 2021/22, as set out in paragraph 40 of the</w:t>
      </w:r>
      <w:r>
        <w:rPr>
          <w:spacing w:val="-14"/>
          <w:sz w:val="24"/>
        </w:rPr>
        <w:t xml:space="preserve"> </w:t>
      </w:r>
      <w:r>
        <w:rPr>
          <w:sz w:val="24"/>
        </w:rPr>
        <w:t>report;</w:t>
      </w:r>
    </w:p>
    <w:p w14:paraId="7B366F8D" w14:textId="77777777" w:rsidR="00152DB8" w:rsidRDefault="00152DB8">
      <w:pPr>
        <w:pStyle w:val="BodyText"/>
      </w:pPr>
    </w:p>
    <w:p w14:paraId="72626A29" w14:textId="77777777" w:rsidR="00152DB8" w:rsidRDefault="00CE30A3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hanging="721"/>
        <w:rPr>
          <w:sz w:val="24"/>
        </w:rPr>
      </w:pPr>
      <w:r>
        <w:rPr>
          <w:sz w:val="24"/>
        </w:rPr>
        <w:t>the following be</w:t>
      </w:r>
      <w:r>
        <w:rPr>
          <w:spacing w:val="-4"/>
          <w:sz w:val="24"/>
        </w:rPr>
        <w:t xml:space="preserve"> </w:t>
      </w:r>
      <w:r>
        <w:rPr>
          <w:sz w:val="24"/>
        </w:rPr>
        <w:t>noted:</w:t>
      </w:r>
    </w:p>
    <w:p w14:paraId="448F8B60" w14:textId="77777777" w:rsidR="00152DB8" w:rsidRDefault="00152DB8">
      <w:pPr>
        <w:pStyle w:val="BodyText"/>
      </w:pPr>
    </w:p>
    <w:p w14:paraId="51E2ABAE" w14:textId="77777777" w:rsidR="00152DB8" w:rsidRDefault="00CE30A3">
      <w:pPr>
        <w:pStyle w:val="ListParagraph"/>
        <w:numPr>
          <w:ilvl w:val="1"/>
          <w:numId w:val="3"/>
        </w:numPr>
        <w:tabs>
          <w:tab w:val="left" w:pos="2264"/>
          <w:tab w:val="left" w:pos="2265"/>
        </w:tabs>
        <w:spacing w:line="208" w:lineRule="auto"/>
        <w:ind w:right="354"/>
        <w:rPr>
          <w:sz w:val="24"/>
        </w:rPr>
      </w:pPr>
      <w:r>
        <w:rPr>
          <w:sz w:val="24"/>
        </w:rPr>
        <w:t xml:space="preserve">charges for Facilities, Community Halls, Garages and Water to remained unchanged as set out in appendices 3 to 6 to the report. Reconfigured planned investment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which continues to focus on health and safety and compliance as</w:t>
      </w:r>
      <w:r>
        <w:rPr>
          <w:spacing w:val="-25"/>
          <w:sz w:val="24"/>
        </w:rPr>
        <w:t xml:space="preserve"> </w:t>
      </w:r>
      <w:r>
        <w:rPr>
          <w:sz w:val="24"/>
        </w:rPr>
        <w:t>well as supporting increased flexibility in its delivery. In the coming years we were also making provision to support the Council’s ambition to reduce carbon</w:t>
      </w:r>
      <w:r>
        <w:rPr>
          <w:spacing w:val="-4"/>
          <w:sz w:val="24"/>
        </w:rPr>
        <w:t xml:space="preserve"> </w:t>
      </w:r>
      <w:r>
        <w:rPr>
          <w:sz w:val="24"/>
        </w:rPr>
        <w:t>emissions.</w:t>
      </w:r>
    </w:p>
    <w:p w14:paraId="7FE108D3" w14:textId="77777777" w:rsidR="00152DB8" w:rsidRDefault="00CE30A3">
      <w:pPr>
        <w:pStyle w:val="ListParagraph"/>
        <w:numPr>
          <w:ilvl w:val="1"/>
          <w:numId w:val="3"/>
        </w:numPr>
        <w:tabs>
          <w:tab w:val="left" w:pos="2264"/>
          <w:tab w:val="left" w:pos="2265"/>
        </w:tabs>
        <w:spacing w:line="275" w:lineRule="exact"/>
        <w:ind w:hanging="645"/>
        <w:rPr>
          <w:sz w:val="24"/>
        </w:rPr>
      </w:pPr>
      <w:r>
        <w:rPr>
          <w:sz w:val="24"/>
        </w:rPr>
        <w:t>assumptions made in construction of the</w:t>
      </w:r>
      <w:r>
        <w:rPr>
          <w:spacing w:val="-3"/>
          <w:sz w:val="24"/>
        </w:rPr>
        <w:t xml:space="preserve"> </w:t>
      </w:r>
      <w:r>
        <w:rPr>
          <w:sz w:val="24"/>
        </w:rPr>
        <w:t>budget.</w:t>
      </w:r>
    </w:p>
    <w:p w14:paraId="771C85F4" w14:textId="77777777" w:rsidR="00152DB8" w:rsidRDefault="00CE30A3">
      <w:pPr>
        <w:pStyle w:val="ListParagraph"/>
        <w:numPr>
          <w:ilvl w:val="1"/>
          <w:numId w:val="3"/>
        </w:numPr>
        <w:tabs>
          <w:tab w:val="left" w:pos="2264"/>
          <w:tab w:val="left" w:pos="2265"/>
        </w:tabs>
        <w:ind w:right="565"/>
        <w:rPr>
          <w:sz w:val="24"/>
        </w:rPr>
      </w:pPr>
      <w:r>
        <w:rPr>
          <w:sz w:val="24"/>
        </w:rPr>
        <w:t>risk Management Implications which require prudent financial reserves, volatility around borrowing costs and ongoing probability of reforms in the housing</w:t>
      </w:r>
      <w:r>
        <w:rPr>
          <w:spacing w:val="-4"/>
          <w:sz w:val="24"/>
        </w:rPr>
        <w:t xml:space="preserve"> </w:t>
      </w:r>
      <w:r>
        <w:rPr>
          <w:sz w:val="24"/>
        </w:rPr>
        <w:t>sector.</w:t>
      </w:r>
    </w:p>
    <w:p w14:paraId="1C4BD2DC" w14:textId="22677BE0" w:rsidR="00152DB8" w:rsidRDefault="00152DB8">
      <w:pPr>
        <w:pStyle w:val="BodyText"/>
      </w:pPr>
    </w:p>
    <w:p w14:paraId="7708156A" w14:textId="77777777" w:rsidR="00CE30A3" w:rsidRDefault="00CE30A3">
      <w:pPr>
        <w:pStyle w:val="BodyText"/>
      </w:pPr>
    </w:p>
    <w:p w14:paraId="23E50715" w14:textId="77777777" w:rsidR="00152DB8" w:rsidRDefault="00CE30A3">
      <w:pPr>
        <w:ind w:left="900"/>
        <w:rPr>
          <w:sz w:val="24"/>
        </w:rPr>
      </w:pPr>
      <w:r>
        <w:rPr>
          <w:b/>
          <w:sz w:val="24"/>
        </w:rPr>
        <w:lastRenderedPageBreak/>
        <w:t xml:space="preserve">Reason for the Decision: </w:t>
      </w:r>
      <w:r>
        <w:rPr>
          <w:sz w:val="24"/>
        </w:rPr>
        <w:t xml:space="preserve">To recommend the HRA budget and capital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2021-22 and the MTFS for 2022-23 to 2023-24.</w:t>
      </w:r>
    </w:p>
    <w:p w14:paraId="244D7D35" w14:textId="77777777" w:rsidR="00152DB8" w:rsidRDefault="00152DB8">
      <w:pPr>
        <w:pStyle w:val="BodyText"/>
        <w:spacing w:before="1"/>
      </w:pPr>
    </w:p>
    <w:p w14:paraId="4BC92628" w14:textId="77777777" w:rsidR="00152DB8" w:rsidRDefault="00CE30A3">
      <w:pPr>
        <w:ind w:left="900"/>
        <w:rPr>
          <w:sz w:val="24"/>
        </w:rPr>
      </w:pPr>
      <w:r>
        <w:rPr>
          <w:b/>
          <w:sz w:val="24"/>
        </w:rPr>
        <w:t xml:space="preserve">Alternative Options Considered and Rejected: </w:t>
      </w:r>
      <w:r>
        <w:rPr>
          <w:sz w:val="24"/>
        </w:rPr>
        <w:t>As set out in the report.</w:t>
      </w:r>
    </w:p>
    <w:p w14:paraId="7EC9A671" w14:textId="77777777" w:rsidR="00152DB8" w:rsidRDefault="00152DB8">
      <w:pPr>
        <w:pStyle w:val="BodyText"/>
      </w:pPr>
    </w:p>
    <w:p w14:paraId="19033C0F" w14:textId="77777777" w:rsidR="00152DB8" w:rsidRDefault="00CE30A3">
      <w:pPr>
        <w:pStyle w:val="Heading2"/>
        <w:ind w:right="1488"/>
        <w:rPr>
          <w:b w:val="0"/>
        </w:rPr>
      </w:pPr>
      <w:r>
        <w:t xml:space="preserve">Conflict of Interest relating to the matter declared by Cabinet Member/Dispensation Granted: </w:t>
      </w:r>
      <w:r>
        <w:rPr>
          <w:b w:val="0"/>
        </w:rPr>
        <w:t>None.</w:t>
      </w:r>
    </w:p>
    <w:p w14:paraId="2C23BA6E" w14:textId="77777777" w:rsidR="00152DB8" w:rsidRDefault="00152DB8">
      <w:pPr>
        <w:pStyle w:val="BodyText"/>
      </w:pPr>
      <w:bookmarkStart w:id="1" w:name="_GoBack"/>
      <w:bookmarkEnd w:id="1"/>
    </w:p>
    <w:sectPr w:rsidR="00152DB8">
      <w:footerReference w:type="even" r:id="rId10"/>
      <w:footerReference w:type="default" r:id="rId11"/>
      <w:pgSz w:w="11910" w:h="16840"/>
      <w:pgMar w:top="980" w:right="1320" w:bottom="560" w:left="12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7CE1" w14:textId="77777777" w:rsidR="009A7C4D" w:rsidRDefault="00CE30A3">
      <w:r>
        <w:separator/>
      </w:r>
    </w:p>
  </w:endnote>
  <w:endnote w:type="continuationSeparator" w:id="0">
    <w:p w14:paraId="4121A4E4" w14:textId="77777777" w:rsidR="009A7C4D" w:rsidRDefault="00CE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02E2" w14:textId="77777777" w:rsidR="00152DB8" w:rsidRDefault="00DB78D5">
    <w:pPr>
      <w:pStyle w:val="BodyText"/>
      <w:spacing w:line="14" w:lineRule="auto"/>
      <w:rPr>
        <w:sz w:val="20"/>
      </w:rPr>
    </w:pPr>
    <w:r>
      <w:pict w14:anchorId="48C1C6C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2.95pt;margin-top:808.15pt;width:42.05pt;height:13.15pt;z-index:-15930368;mso-position-horizontal-relative:page;mso-position-vertical-relative:page" filled="f" stroked="f">
          <v:textbox inset="0,0,0,0">
            <w:txbxContent>
              <w:p w14:paraId="6905D769" w14:textId="3F35FFAE" w:rsidR="00152DB8" w:rsidRDefault="00152DB8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4CF3C597">
        <v:shape id="_x0000_s1031" type="#_x0000_t202" style="position:absolute;margin-left:107pt;margin-top:809.9pt;width:99.85pt;height:11pt;z-index:-15929856;mso-position-horizontal-relative:page;mso-position-vertical-relative:page" filled="f" stroked="f">
          <v:textbox inset="0,0,0,0">
            <w:txbxContent>
              <w:p w14:paraId="6265154F" w14:textId="77777777" w:rsidR="00152DB8" w:rsidRDefault="00CE30A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079B" w14:textId="77777777" w:rsidR="00152DB8" w:rsidRDefault="00DB78D5">
    <w:pPr>
      <w:pStyle w:val="BodyText"/>
      <w:spacing w:line="14" w:lineRule="auto"/>
      <w:rPr>
        <w:sz w:val="20"/>
      </w:rPr>
    </w:pPr>
    <w:r>
      <w:pict w14:anchorId="3EF0110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3pt;margin-top:808.15pt;width:46.75pt;height:13.15pt;z-index:-15929344;mso-position-horizontal-relative:page;mso-position-vertical-relative:page" filled="f" stroked="f">
          <v:textbox inset="0,0,0,0">
            <w:txbxContent>
              <w:p w14:paraId="2E8D1977" w14:textId="77777777" w:rsidR="00152DB8" w:rsidRDefault="00CE30A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AC99428">
        <v:shape id="_x0000_s1029" type="#_x0000_t202" style="position:absolute;margin-left:71pt;margin-top:809.9pt;width:99.85pt;height:11pt;z-index:-15928832;mso-position-horizontal-relative:page;mso-position-vertical-relative:page" filled="f" stroked="f">
          <v:textbox inset="0,0,0,0">
            <w:txbxContent>
              <w:p w14:paraId="5EA403CB" w14:textId="77777777" w:rsidR="00152DB8" w:rsidRDefault="00CE30A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2B77" w14:textId="77777777" w:rsidR="00152DB8" w:rsidRDefault="00DB78D5">
    <w:pPr>
      <w:pStyle w:val="BodyText"/>
      <w:spacing w:line="14" w:lineRule="auto"/>
      <w:rPr>
        <w:sz w:val="20"/>
      </w:rPr>
    </w:pPr>
    <w:r>
      <w:pict w14:anchorId="424583D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8.25pt;margin-top:808.15pt;width:46.75pt;height:13.15pt;z-index:-15928320;mso-position-horizontal-relative:page;mso-position-vertical-relative:page" filled="f" stroked="f">
          <v:textbox inset="0,0,0,0">
            <w:txbxContent>
              <w:p w14:paraId="09306B7E" w14:textId="07DF836F" w:rsidR="00152DB8" w:rsidRDefault="00152DB8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FE0C478">
        <v:shape id="_x0000_s1027" type="#_x0000_t202" style="position:absolute;margin-left:107pt;margin-top:809.9pt;width:99.85pt;height:11pt;z-index:-15927808;mso-position-horizontal-relative:page;mso-position-vertical-relative:page" filled="f" stroked="f">
          <v:textbox inset="0,0,0,0">
            <w:txbxContent>
              <w:p w14:paraId="7356EE66" w14:textId="77777777" w:rsidR="00152DB8" w:rsidRDefault="00CE30A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6D5A" w14:textId="77777777" w:rsidR="00152DB8" w:rsidRDefault="00DB78D5">
    <w:pPr>
      <w:pStyle w:val="BodyText"/>
      <w:spacing w:line="14" w:lineRule="auto"/>
      <w:rPr>
        <w:sz w:val="20"/>
      </w:rPr>
    </w:pPr>
    <w:r>
      <w:pict w14:anchorId="6CDE343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3pt;margin-top:808.15pt;width:46.75pt;height:13.15pt;z-index:-15927296;mso-position-horizontal-relative:page;mso-position-vertical-relative:page" filled="f" stroked="f">
          <v:textbox inset="0,0,0,0">
            <w:txbxContent>
              <w:p w14:paraId="741370C6" w14:textId="24C1F08C" w:rsidR="00152DB8" w:rsidRDefault="00152DB8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3860F4E">
        <v:shape id="_x0000_s1025" type="#_x0000_t202" style="position:absolute;margin-left:71pt;margin-top:809.9pt;width:99.85pt;height:11pt;z-index:-15926784;mso-position-horizontal-relative:page;mso-position-vertical-relative:page" filled="f" stroked="f">
          <v:textbox inset="0,0,0,0">
            <w:txbxContent>
              <w:p w14:paraId="5CEAAC10" w14:textId="77777777" w:rsidR="00152DB8" w:rsidRDefault="00CE30A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AAC1" w14:textId="77777777" w:rsidR="009A7C4D" w:rsidRDefault="00CE30A3">
      <w:r>
        <w:separator/>
      </w:r>
    </w:p>
  </w:footnote>
  <w:footnote w:type="continuationSeparator" w:id="0">
    <w:p w14:paraId="22A17174" w14:textId="77777777" w:rsidR="009A7C4D" w:rsidRDefault="00CE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AA7"/>
    <w:multiLevelType w:val="hybridMultilevel"/>
    <w:tmpl w:val="4AAAD770"/>
    <w:lvl w:ilvl="0" w:tplc="72C2E438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D4C5FCC">
      <w:start w:val="1"/>
      <w:numFmt w:val="lowerLetter"/>
      <w:lvlText w:val="%2)"/>
      <w:lvlJc w:val="left"/>
      <w:pPr>
        <w:ind w:left="2264" w:hanging="64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808AB248">
      <w:numFmt w:val="bullet"/>
      <w:lvlText w:val="•"/>
      <w:lvlJc w:val="left"/>
      <w:pPr>
        <w:ind w:left="3045" w:hanging="644"/>
      </w:pPr>
      <w:rPr>
        <w:rFonts w:hint="default"/>
      </w:rPr>
    </w:lvl>
    <w:lvl w:ilvl="3" w:tplc="EA8C90D0">
      <w:numFmt w:val="bullet"/>
      <w:lvlText w:val="•"/>
      <w:lvlJc w:val="left"/>
      <w:pPr>
        <w:ind w:left="3830" w:hanging="644"/>
      </w:pPr>
      <w:rPr>
        <w:rFonts w:hint="default"/>
      </w:rPr>
    </w:lvl>
    <w:lvl w:ilvl="4" w:tplc="E460E6FE">
      <w:numFmt w:val="bullet"/>
      <w:lvlText w:val="•"/>
      <w:lvlJc w:val="left"/>
      <w:pPr>
        <w:ind w:left="4615" w:hanging="644"/>
      </w:pPr>
      <w:rPr>
        <w:rFonts w:hint="default"/>
      </w:rPr>
    </w:lvl>
    <w:lvl w:ilvl="5" w:tplc="42426DF6">
      <w:numFmt w:val="bullet"/>
      <w:lvlText w:val="•"/>
      <w:lvlJc w:val="left"/>
      <w:pPr>
        <w:ind w:left="5400" w:hanging="644"/>
      </w:pPr>
      <w:rPr>
        <w:rFonts w:hint="default"/>
      </w:rPr>
    </w:lvl>
    <w:lvl w:ilvl="6" w:tplc="F6A6DD58">
      <w:numFmt w:val="bullet"/>
      <w:lvlText w:val="•"/>
      <w:lvlJc w:val="left"/>
      <w:pPr>
        <w:ind w:left="6185" w:hanging="644"/>
      </w:pPr>
      <w:rPr>
        <w:rFonts w:hint="default"/>
      </w:rPr>
    </w:lvl>
    <w:lvl w:ilvl="7" w:tplc="261A3F30">
      <w:numFmt w:val="bullet"/>
      <w:lvlText w:val="•"/>
      <w:lvlJc w:val="left"/>
      <w:pPr>
        <w:ind w:left="6970" w:hanging="644"/>
      </w:pPr>
      <w:rPr>
        <w:rFonts w:hint="default"/>
      </w:rPr>
    </w:lvl>
    <w:lvl w:ilvl="8" w:tplc="7E1688BA">
      <w:numFmt w:val="bullet"/>
      <w:lvlText w:val="•"/>
      <w:lvlJc w:val="left"/>
      <w:pPr>
        <w:ind w:left="7756" w:hanging="644"/>
      </w:pPr>
      <w:rPr>
        <w:rFonts w:hint="default"/>
      </w:rPr>
    </w:lvl>
  </w:abstractNum>
  <w:abstractNum w:abstractNumId="1" w15:restartNumberingAfterBreak="0">
    <w:nsid w:val="246C6E25"/>
    <w:multiLevelType w:val="hybridMultilevel"/>
    <w:tmpl w:val="9274D6BA"/>
    <w:lvl w:ilvl="0" w:tplc="26D64FCC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52839F0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34D2C17C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5C48C85A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E0B667A6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D326D6B2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0CDA47B0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862E11F6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8A28A05A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" w15:restartNumberingAfterBreak="0">
    <w:nsid w:val="4FC872B4"/>
    <w:multiLevelType w:val="hybridMultilevel"/>
    <w:tmpl w:val="8DC4222E"/>
    <w:lvl w:ilvl="0" w:tplc="B9545114">
      <w:start w:val="416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9B465E4">
      <w:start w:val="1"/>
      <w:numFmt w:val="decimal"/>
      <w:lvlText w:val="%2)"/>
      <w:lvlJc w:val="left"/>
      <w:pPr>
        <w:ind w:left="162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50FC5360">
      <w:numFmt w:val="bullet"/>
      <w:lvlText w:val=""/>
      <w:lvlJc w:val="left"/>
      <w:pPr>
        <w:ind w:left="19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560EBF6">
      <w:numFmt w:val="bullet"/>
      <w:lvlText w:val="•"/>
      <w:lvlJc w:val="left"/>
      <w:pPr>
        <w:ind w:left="2898" w:hanging="361"/>
      </w:pPr>
      <w:rPr>
        <w:rFonts w:hint="default"/>
      </w:rPr>
    </w:lvl>
    <w:lvl w:ilvl="4" w:tplc="EC7ACC18">
      <w:numFmt w:val="bullet"/>
      <w:lvlText w:val="•"/>
      <w:lvlJc w:val="left"/>
      <w:pPr>
        <w:ind w:left="3816" w:hanging="361"/>
      </w:pPr>
      <w:rPr>
        <w:rFonts w:hint="default"/>
      </w:rPr>
    </w:lvl>
    <w:lvl w:ilvl="5" w:tplc="3506ACB2">
      <w:numFmt w:val="bullet"/>
      <w:lvlText w:val="•"/>
      <w:lvlJc w:val="left"/>
      <w:pPr>
        <w:ind w:left="4734" w:hanging="361"/>
      </w:pPr>
      <w:rPr>
        <w:rFonts w:hint="default"/>
      </w:rPr>
    </w:lvl>
    <w:lvl w:ilvl="6" w:tplc="9DE29612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A622F76E"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D8A26FE2"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3" w15:restartNumberingAfterBreak="0">
    <w:nsid w:val="598A4BBD"/>
    <w:multiLevelType w:val="hybridMultilevel"/>
    <w:tmpl w:val="C0BEF3EE"/>
    <w:lvl w:ilvl="0" w:tplc="716219AA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2CA2634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245436A0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F50EB09C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C9AA3174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B8B6C270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F37C6948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56D6C6CC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282A1C7C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4" w15:restartNumberingAfterBreak="0">
    <w:nsid w:val="752D1445"/>
    <w:multiLevelType w:val="hybridMultilevel"/>
    <w:tmpl w:val="AAA03296"/>
    <w:lvl w:ilvl="0" w:tplc="303E088A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1AE52E2">
      <w:start w:val="1"/>
      <w:numFmt w:val="lowerLetter"/>
      <w:lvlText w:val="%2)"/>
      <w:lvlJc w:val="left"/>
      <w:pPr>
        <w:ind w:left="2341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FA32152C"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7B1EB56C">
      <w:numFmt w:val="bullet"/>
      <w:lvlText w:val="•"/>
      <w:lvlJc w:val="left"/>
      <w:pPr>
        <w:ind w:left="3892" w:hanging="721"/>
      </w:pPr>
      <w:rPr>
        <w:rFonts w:hint="default"/>
      </w:rPr>
    </w:lvl>
    <w:lvl w:ilvl="4" w:tplc="861A2A3C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97701856">
      <w:numFmt w:val="bullet"/>
      <w:lvlText w:val="•"/>
      <w:lvlJc w:val="left"/>
      <w:pPr>
        <w:ind w:left="5445" w:hanging="721"/>
      </w:pPr>
      <w:rPr>
        <w:rFonts w:hint="default"/>
      </w:rPr>
    </w:lvl>
    <w:lvl w:ilvl="6" w:tplc="F84E4E70">
      <w:numFmt w:val="bullet"/>
      <w:lvlText w:val="•"/>
      <w:lvlJc w:val="left"/>
      <w:pPr>
        <w:ind w:left="6221" w:hanging="721"/>
      </w:pPr>
      <w:rPr>
        <w:rFonts w:hint="default"/>
      </w:rPr>
    </w:lvl>
    <w:lvl w:ilvl="7" w:tplc="A3626B8C">
      <w:numFmt w:val="bullet"/>
      <w:lvlText w:val="•"/>
      <w:lvlJc w:val="left"/>
      <w:pPr>
        <w:ind w:left="6997" w:hanging="721"/>
      </w:pPr>
      <w:rPr>
        <w:rFonts w:hint="default"/>
      </w:rPr>
    </w:lvl>
    <w:lvl w:ilvl="8" w:tplc="4F5A914C">
      <w:numFmt w:val="bullet"/>
      <w:lvlText w:val="•"/>
      <w:lvlJc w:val="left"/>
      <w:pPr>
        <w:ind w:left="7773" w:hanging="7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B8"/>
    <w:rsid w:val="00152DB8"/>
    <w:rsid w:val="009A7C4D"/>
    <w:rsid w:val="00CE30A3"/>
    <w:rsid w:val="00D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AAD9"/>
  <w15:docId w15:val="{BB80E918-EA41-4665-97B0-F8FD696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656" w:right="1882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20" w:hanging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E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0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Company>Harrow Council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Cabinet, 11/02/2021 18:30</dc:title>
  <dc:subject>Cabinet, 11/02/2021 18:30</dc:subject>
  <cp:lastModifiedBy>Alison Atherton</cp:lastModifiedBy>
  <cp:revision>3</cp:revision>
  <dcterms:created xsi:type="dcterms:W3CDTF">2021-02-16T10:00:00Z</dcterms:created>
  <dcterms:modified xsi:type="dcterms:W3CDTF">2021-02-16T10:52:00Z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2021-02-16T00:00:00Z</vt:filetime>
  </property>
</Properties>
</file>